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1A6D" w:rsidRDefault="00000000">
      <w:pPr>
        <w:spacing w:after="106" w:line="259" w:lineRule="auto"/>
        <w:ind w:left="0" w:firstLine="0"/>
        <w:jc w:val="center"/>
      </w:pPr>
      <w:r>
        <w:rPr>
          <w:b/>
          <w:color w:val="333333"/>
        </w:rPr>
        <w:t>ÁLLÁSPÁLYÁZAT</w:t>
      </w:r>
    </w:p>
    <w:p w:rsidR="00E51A6D" w:rsidRDefault="00000000">
      <w:pPr>
        <w:spacing w:after="101" w:line="265" w:lineRule="auto"/>
        <w:jc w:val="center"/>
      </w:pPr>
      <w:r>
        <w:rPr>
          <w:color w:val="333333"/>
        </w:rPr>
        <w:t>ISASZEGI POLGÁRMESTERI HIVATAL</w:t>
      </w:r>
    </w:p>
    <w:p w:rsidR="00E51A6D" w:rsidRDefault="00000000">
      <w:pPr>
        <w:spacing w:after="106" w:line="259" w:lineRule="auto"/>
        <w:ind w:left="0" w:firstLine="0"/>
        <w:jc w:val="center"/>
      </w:pPr>
      <w:r>
        <w:t>Isaszegi Humánszolgáltató Központ</w:t>
      </w:r>
    </w:p>
    <w:p w:rsidR="00E51A6D" w:rsidRDefault="00000000">
      <w:pPr>
        <w:spacing w:after="158" w:line="265" w:lineRule="auto"/>
        <w:jc w:val="center"/>
      </w:pPr>
      <w:r>
        <w:rPr>
          <w:color w:val="333333"/>
        </w:rPr>
        <w:t>pályázatot hirdet Közalkalmazotti jogviszony (Kjt.) keretében</w:t>
      </w:r>
    </w:p>
    <w:p w:rsidR="00E51A6D" w:rsidRDefault="00000000">
      <w:pPr>
        <w:spacing w:after="135" w:line="259" w:lineRule="auto"/>
        <w:ind w:left="94" w:firstLine="0"/>
        <w:jc w:val="left"/>
      </w:pPr>
      <w:r>
        <w:rPr>
          <w:b/>
          <w:color w:val="333333"/>
          <w:sz w:val="28"/>
        </w:rPr>
        <w:t xml:space="preserve">családsegítő, családgondozó, tanácsadó munkakör, intézményvezetői </w:t>
      </w:r>
    </w:p>
    <w:p w:rsidR="00E51A6D" w:rsidRDefault="00000000">
      <w:pPr>
        <w:spacing w:after="78" w:line="259" w:lineRule="auto"/>
        <w:ind w:left="0" w:firstLine="0"/>
        <w:jc w:val="center"/>
      </w:pPr>
      <w:r>
        <w:rPr>
          <w:b/>
          <w:color w:val="333333"/>
          <w:sz w:val="28"/>
        </w:rPr>
        <w:t>megbízással</w:t>
      </w:r>
    </w:p>
    <w:p w:rsidR="00E51A6D" w:rsidRDefault="00000000">
      <w:pPr>
        <w:spacing w:after="875" w:line="265" w:lineRule="auto"/>
        <w:jc w:val="center"/>
      </w:pPr>
      <w:r>
        <w:rPr>
          <w:color w:val="333333"/>
        </w:rPr>
        <w:t>Munkakör/feladatkör betöltésére.</w:t>
      </w:r>
    </w:p>
    <w:p w:rsidR="00E51A6D" w:rsidRDefault="00000000">
      <w:pPr>
        <w:spacing w:after="109"/>
        <w:ind w:left="-5"/>
        <w:jc w:val="left"/>
      </w:pPr>
      <w:r>
        <w:rPr>
          <w:b/>
          <w:color w:val="333333"/>
        </w:rPr>
        <w:t>Tevékenységi kör (ellátandó feladatok):</w:t>
      </w:r>
      <w:r>
        <w:rPr>
          <w:color w:val="333333"/>
        </w:rPr>
        <w:t xml:space="preserve"> Az önállóan működő költségvetési szerv Alapító Okiratában, Szervezeti és Működési Szabályzatában és az ellátások Szakmai Programjában foglalt tevékenységi körbe tartozó feladatok vezetői ellátása, irányítása, ellenőrzése, az intézmény szakszerű, törvényes, költséghatékony működtetése, az intézmény szolgáltatásainak jogszabályi feltételek </w:t>
      </w:r>
      <w:r>
        <w:rPr>
          <w:color w:val="333333"/>
        </w:rPr>
        <w:tab/>
        <w:t xml:space="preserve">szerinti </w:t>
      </w:r>
      <w:r>
        <w:rPr>
          <w:color w:val="333333"/>
        </w:rPr>
        <w:tab/>
        <w:t xml:space="preserve">biztosítása. </w:t>
      </w:r>
      <w:r>
        <w:rPr>
          <w:color w:val="333333"/>
        </w:rPr>
        <w:tab/>
        <w:t xml:space="preserve">Az </w:t>
      </w:r>
      <w:r>
        <w:rPr>
          <w:color w:val="333333"/>
        </w:rPr>
        <w:tab/>
        <w:t xml:space="preserve">intézményvezető </w:t>
      </w:r>
      <w:r>
        <w:rPr>
          <w:color w:val="333333"/>
        </w:rPr>
        <w:tab/>
        <w:t xml:space="preserve">feladata </w:t>
      </w:r>
      <w:r>
        <w:rPr>
          <w:color w:val="333333"/>
        </w:rPr>
        <w:tab/>
        <w:t xml:space="preserve">az </w:t>
      </w:r>
      <w:r>
        <w:rPr>
          <w:color w:val="333333"/>
        </w:rPr>
        <w:tab/>
        <w:t xml:space="preserve">intézmény </w:t>
      </w:r>
      <w:r>
        <w:rPr>
          <w:color w:val="333333"/>
        </w:rPr>
        <w:tab/>
        <w:t>zavartalan működésének, színvonalas szakmai munkájának szervezése, valamint munkáltatói jogkört gyakorol a foglalkoztatott közalkalmazottak felett.</w:t>
      </w:r>
    </w:p>
    <w:p w:rsidR="00E51A6D" w:rsidRDefault="00000000">
      <w:pPr>
        <w:spacing w:after="107"/>
        <w:ind w:left="-5"/>
      </w:pPr>
      <w:r>
        <w:rPr>
          <w:b/>
          <w:color w:val="333333"/>
        </w:rPr>
        <w:t>Betöltendő állás szakmacsoportja:</w:t>
      </w:r>
      <w:r>
        <w:rPr>
          <w:color w:val="333333"/>
        </w:rPr>
        <w:t xml:space="preserve"> szociális és gyámügy</w:t>
      </w:r>
    </w:p>
    <w:p w:rsidR="00E51A6D" w:rsidRDefault="00000000">
      <w:pPr>
        <w:spacing w:after="109"/>
        <w:ind w:left="-5"/>
        <w:jc w:val="left"/>
      </w:pPr>
      <w:r>
        <w:rPr>
          <w:b/>
          <w:color w:val="333333"/>
        </w:rPr>
        <w:t>FEOR besorolás:</w:t>
      </w:r>
      <w:r>
        <w:rPr>
          <w:color w:val="333333"/>
        </w:rPr>
        <w:t xml:space="preserve"> 2910 Egyéb magasan képzett ügyintéző</w:t>
      </w:r>
    </w:p>
    <w:p w:rsidR="00E51A6D" w:rsidRDefault="00000000">
      <w:pPr>
        <w:spacing w:after="107"/>
        <w:ind w:left="-5"/>
      </w:pPr>
      <w:r>
        <w:rPr>
          <w:b/>
          <w:color w:val="333333"/>
        </w:rPr>
        <w:t>Betöltendő állás munkakörének szakterülete (munkakörcsalád):</w:t>
      </w:r>
      <w:r>
        <w:rPr>
          <w:color w:val="333333"/>
        </w:rPr>
        <w:t xml:space="preserve"> Egyéb</w:t>
      </w:r>
    </w:p>
    <w:p w:rsidR="00E51A6D" w:rsidRDefault="00000000">
      <w:pPr>
        <w:spacing w:after="109"/>
        <w:ind w:left="-5"/>
        <w:jc w:val="left"/>
      </w:pPr>
      <w:r>
        <w:rPr>
          <w:b/>
          <w:color w:val="333333"/>
        </w:rPr>
        <w:t>Betöltendő állás jogviszonya:</w:t>
      </w:r>
      <w:r>
        <w:rPr>
          <w:color w:val="333333"/>
        </w:rPr>
        <w:t xml:space="preserve"> Közalkalmazotti jogviszony (Kjt.)</w:t>
      </w:r>
    </w:p>
    <w:p w:rsidR="00E51A6D" w:rsidRDefault="00000000">
      <w:pPr>
        <w:spacing w:after="109"/>
        <w:ind w:left="-5"/>
        <w:jc w:val="left"/>
      </w:pPr>
      <w:r>
        <w:rPr>
          <w:b/>
          <w:color w:val="333333"/>
        </w:rPr>
        <w:t>Foglalkoztatás időtartama, munkaideje, munkarendje, formája:</w:t>
      </w:r>
      <w:r>
        <w:rPr>
          <w:color w:val="333333"/>
        </w:rPr>
        <w:t xml:space="preserve"> Határozott, 40 óra, teljes munkaidő (heti 40 óra), Teljes munkaidő</w:t>
      </w:r>
    </w:p>
    <w:p w:rsidR="00E51A6D" w:rsidRDefault="00000000">
      <w:pPr>
        <w:spacing w:after="107"/>
        <w:ind w:left="-5"/>
      </w:pPr>
      <w:r>
        <w:rPr>
          <w:b/>
          <w:color w:val="333333"/>
        </w:rPr>
        <w:t>Munkavégzés helye:</w:t>
      </w:r>
      <w:r>
        <w:rPr>
          <w:color w:val="333333"/>
        </w:rPr>
        <w:t xml:space="preserve"> Isaszeg</w:t>
      </w:r>
    </w:p>
    <w:p w:rsidR="00E51A6D" w:rsidRDefault="00000000">
      <w:pPr>
        <w:spacing w:after="109"/>
        <w:ind w:left="-5"/>
        <w:jc w:val="left"/>
      </w:pPr>
      <w:r>
        <w:rPr>
          <w:b/>
          <w:color w:val="333333"/>
        </w:rPr>
        <w:t>A munkavégzés pontos helye:</w:t>
      </w:r>
      <w:r>
        <w:rPr>
          <w:color w:val="333333"/>
        </w:rPr>
        <w:t xml:space="preserve"> 2117. Isaszeg, Móricz Zsigmond utca 16.</w:t>
      </w:r>
    </w:p>
    <w:p w:rsidR="00E51A6D" w:rsidRDefault="00000000">
      <w:pPr>
        <w:spacing w:after="746"/>
        <w:ind w:left="-5"/>
      </w:pPr>
      <w:r>
        <w:rPr>
          <w:b/>
          <w:color w:val="333333"/>
        </w:rPr>
        <w:t>A munkáltatóval, állással kapcsolatos egyéb lényeges információ (pl. jogviszony létesítés feltételei; próbaidő; illetmény/fizetés, speciális adatvédelmi tájékoztatás, szervezet honlap címe stb.):</w:t>
      </w:r>
      <w:r>
        <w:rPr>
          <w:color w:val="333333"/>
        </w:rPr>
        <w:t xml:space="preserve"> A Kjt. 21/A § (1) bekezdése értelmében a munkáltató 3 hónap próbaidőt határoz meg.</w:t>
      </w:r>
    </w:p>
    <w:p w:rsidR="00E51A6D" w:rsidRDefault="00000000">
      <w:pPr>
        <w:spacing w:after="230" w:line="265" w:lineRule="auto"/>
        <w:ind w:left="-5"/>
        <w:jc w:val="left"/>
      </w:pPr>
      <w:r>
        <w:rPr>
          <w:b/>
        </w:rPr>
        <w:t>Feltételek, Előnyök</w:t>
      </w:r>
    </w:p>
    <w:p w:rsidR="00E51A6D" w:rsidRDefault="00000000">
      <w:pPr>
        <w:spacing w:after="0" w:line="259" w:lineRule="auto"/>
        <w:ind w:left="279"/>
        <w:jc w:val="left"/>
      </w:pPr>
      <w:r>
        <w:rPr>
          <w:b/>
          <w:i/>
        </w:rPr>
        <w:t>Pályázati feltételek:</w:t>
      </w:r>
    </w:p>
    <w:p w:rsidR="00E51A6D" w:rsidRDefault="00000000">
      <w:pPr>
        <w:spacing w:after="96" w:line="265" w:lineRule="auto"/>
        <w:ind w:left="718"/>
        <w:jc w:val="left"/>
      </w:pPr>
      <w:r>
        <w:rPr>
          <w:b/>
        </w:rPr>
        <w:t>Jogállásból fakadó jogszabályi követelmények:</w:t>
      </w:r>
    </w:p>
    <w:p w:rsidR="00E51A6D" w:rsidRDefault="00000000">
      <w:pPr>
        <w:numPr>
          <w:ilvl w:val="1"/>
          <w:numId w:val="1"/>
        </w:numPr>
        <w:spacing w:after="101" w:line="259" w:lineRule="auto"/>
        <w:ind w:firstLine="708"/>
      </w:pPr>
      <w:r>
        <w:t>Cselekvőképesség</w:t>
      </w:r>
    </w:p>
    <w:p w:rsidR="00E51A6D" w:rsidRDefault="00000000">
      <w:pPr>
        <w:numPr>
          <w:ilvl w:val="1"/>
          <w:numId w:val="1"/>
        </w:numPr>
        <w:ind w:firstLine="708"/>
      </w:pPr>
      <w:r>
        <w:t>Vagyonnyilatkozattételi eljárás lefolytatása</w:t>
      </w:r>
    </w:p>
    <w:p w:rsidR="00E51A6D" w:rsidRDefault="00000000">
      <w:pPr>
        <w:numPr>
          <w:ilvl w:val="1"/>
          <w:numId w:val="1"/>
        </w:numPr>
        <w:spacing w:after="488"/>
        <w:ind w:firstLine="708"/>
      </w:pPr>
      <w:r>
        <w:t>Magyar állampolgárság, vagy külön jogszabály szerint a szabad mozgás és tartózkodás jogával rendelkező személy, illetve bevándorolt vagy letelepedett</w:t>
      </w:r>
    </w:p>
    <w:p w:rsidR="00E51A6D" w:rsidRDefault="00000000">
      <w:pPr>
        <w:spacing w:after="96" w:line="265" w:lineRule="auto"/>
        <w:ind w:left="718"/>
        <w:jc w:val="left"/>
      </w:pPr>
      <w:r>
        <w:rPr>
          <w:b/>
        </w:rPr>
        <w:t>Elvárt végzettség/képesítés:</w:t>
      </w:r>
    </w:p>
    <w:p w:rsidR="00E51A6D" w:rsidRDefault="00000000">
      <w:pPr>
        <w:numPr>
          <w:ilvl w:val="1"/>
          <w:numId w:val="1"/>
        </w:numPr>
        <w:spacing w:after="488"/>
        <w:ind w:firstLine="708"/>
      </w:pPr>
      <w:r>
        <w:lastRenderedPageBreak/>
        <w:t>6. Felsőfokú végzettséghez kötött szakképesítés  alapképzés (Bsc vagy BA), Szociális gondoskodás, m.n.s., Felsőfokú</w:t>
      </w:r>
    </w:p>
    <w:p w:rsidR="00E51A6D" w:rsidRDefault="00000000">
      <w:pPr>
        <w:spacing w:after="0" w:line="349" w:lineRule="auto"/>
        <w:ind w:left="718" w:right="3218"/>
        <w:jc w:val="left"/>
      </w:pPr>
      <w:r>
        <w:rPr>
          <w:b/>
        </w:rPr>
        <w:t>Elvárt szakmai tapasztalat időtartama (év):</w:t>
      </w:r>
      <w:r>
        <w:t xml:space="preserve"> 5 </w:t>
      </w:r>
      <w:r>
        <w:rPr>
          <w:b/>
        </w:rPr>
        <w:t>Egyéb pályázati feltétel meghatározása:</w:t>
      </w:r>
    </w:p>
    <w:p w:rsidR="00E51A6D" w:rsidRDefault="00000000">
      <w:pPr>
        <w:spacing w:after="92" w:line="259" w:lineRule="auto"/>
        <w:ind w:left="1423"/>
        <w:jc w:val="left"/>
      </w:pPr>
      <w:r>
        <w:rPr>
          <w:rFonts w:ascii="Calibri" w:eastAsia="Calibri" w:hAnsi="Calibri" w:cs="Calibri"/>
        </w:rPr>
        <w:t>-</w:t>
      </w:r>
    </w:p>
    <w:p w:rsidR="00E51A6D" w:rsidRDefault="00000000">
      <w:pPr>
        <w:numPr>
          <w:ilvl w:val="1"/>
          <w:numId w:val="1"/>
        </w:numPr>
        <w:ind w:firstLine="708"/>
      </w:pPr>
      <w:r>
        <w:t xml:space="preserve">nyilatkozat arra vonatkozóan, hogy vállalja a vezetői megbízással rendelkező szociális szolgáltatást nyújtó személyek vezetőképzéséről szóló 25/2017. X.18.) EMMI rendelet 1 § és 6 §-ban meghatározott vezetőképzés teljesítését </w:t>
      </w:r>
      <w:r>
        <w:rPr>
          <w:rFonts w:ascii="Calibri" w:eastAsia="Calibri" w:hAnsi="Calibri" w:cs="Calibri"/>
        </w:rPr>
        <w:t>-</w:t>
      </w:r>
    </w:p>
    <w:p w:rsidR="00E51A6D" w:rsidRDefault="00000000">
      <w:pPr>
        <w:tabs>
          <w:tab w:val="center" w:pos="1468"/>
          <w:tab w:val="center" w:pos="2124"/>
        </w:tabs>
        <w:spacing w:after="92" w:line="259" w:lineRule="auto"/>
        <w:ind w:left="0" w:firstLine="0"/>
        <w:jc w:val="left"/>
      </w:pPr>
      <w:r>
        <w:rPr>
          <w:rFonts w:ascii="Calibri" w:eastAsia="Calibri" w:hAnsi="Calibri" w:cs="Calibri"/>
        </w:rPr>
        <w:tab/>
        <w:t>-</w:t>
      </w:r>
      <w:r>
        <w:rPr>
          <w:rFonts w:ascii="Calibri" w:eastAsia="Calibri" w:hAnsi="Calibri" w:cs="Calibri"/>
        </w:rPr>
        <w:tab/>
      </w:r>
      <w:r>
        <w:t xml:space="preserve"> </w:t>
      </w:r>
    </w:p>
    <w:p w:rsidR="00E51A6D" w:rsidRDefault="00000000">
      <w:pPr>
        <w:numPr>
          <w:ilvl w:val="1"/>
          <w:numId w:val="1"/>
        </w:numPr>
        <w:ind w:firstLine="708"/>
      </w:pPr>
      <w:r>
        <w:t>igazolás arról, hogy nem áll a foglalkoztatástól való eltiltás hatálya alatt a közalkalmazottak jogállásáról szóló 1992. évi XXXIII. törvény 20. § (4)-(5) bekezdésében foglaltak szerint, valamint a pályázóval szemben nem áll fenn a gyermekek védelméről és a gyámügyi igazgatásról szóló 1997. évi XXXI. törvény 10/A. § (1) bekezdésében meghatározott kizáró ok.</w:t>
      </w:r>
    </w:p>
    <w:p w:rsidR="00E51A6D" w:rsidRDefault="00000000">
      <w:pPr>
        <w:numPr>
          <w:ilvl w:val="1"/>
          <w:numId w:val="1"/>
        </w:numPr>
        <w:ind w:firstLine="708"/>
      </w:pPr>
      <w:r>
        <w:t xml:space="preserve">magasabb vezető, illetve vezető beosztás ellátására megbízást az kaphat, aki a munkáltatóval közalkalmazotti jogviszonyban áll, vagy a megbízással egyidejűleg közalkalmazotti munkakörben kinevezhető </w:t>
      </w:r>
    </w:p>
    <w:p w:rsidR="00E51A6D" w:rsidRDefault="00000000">
      <w:pPr>
        <w:tabs>
          <w:tab w:val="center" w:pos="1468"/>
          <w:tab w:val="center" w:pos="2124"/>
        </w:tabs>
        <w:spacing w:after="92" w:line="259" w:lineRule="auto"/>
        <w:ind w:left="0" w:firstLine="0"/>
        <w:jc w:val="left"/>
      </w:pPr>
      <w:r>
        <w:rPr>
          <w:rFonts w:ascii="Calibri" w:eastAsia="Calibri" w:hAnsi="Calibri" w:cs="Calibri"/>
        </w:rPr>
        <w:tab/>
        <w:t>-</w:t>
      </w:r>
      <w:r>
        <w:rPr>
          <w:rFonts w:ascii="Calibri" w:eastAsia="Calibri" w:hAnsi="Calibri" w:cs="Calibri"/>
        </w:rPr>
        <w:tab/>
      </w:r>
      <w:r>
        <w:t xml:space="preserve"> </w:t>
      </w:r>
    </w:p>
    <w:p w:rsidR="00E51A6D" w:rsidRDefault="00000000">
      <w:pPr>
        <w:spacing w:after="92" w:line="259" w:lineRule="auto"/>
        <w:ind w:left="1423"/>
        <w:jc w:val="left"/>
      </w:pPr>
      <w:r>
        <w:rPr>
          <w:rFonts w:ascii="Calibri" w:eastAsia="Calibri" w:hAnsi="Calibri" w:cs="Calibri"/>
        </w:rPr>
        <w:t>-</w:t>
      </w:r>
    </w:p>
    <w:p w:rsidR="00E51A6D" w:rsidRDefault="00000000">
      <w:pPr>
        <w:numPr>
          <w:ilvl w:val="1"/>
          <w:numId w:val="1"/>
        </w:numPr>
        <w:ind w:firstLine="708"/>
      </w:pPr>
      <w:r>
        <w:t>nyilatkozat arról, hogy nyílt vagy zárt ülésen tárgyalja a képviselő-testület</w:t>
      </w:r>
    </w:p>
    <w:p w:rsidR="00E51A6D" w:rsidRDefault="00000000">
      <w:pPr>
        <w:numPr>
          <w:ilvl w:val="1"/>
          <w:numId w:val="1"/>
        </w:numPr>
        <w:ind w:firstLine="708"/>
      </w:pPr>
      <w:r>
        <w:t>nyilatkozat arról, hogy nem áll cselekvőképességet kizáró  vagy korlátozó gondnokság alatt,</w:t>
      </w:r>
    </w:p>
    <w:p w:rsidR="00E51A6D" w:rsidRDefault="00000000">
      <w:pPr>
        <w:numPr>
          <w:ilvl w:val="1"/>
          <w:numId w:val="1"/>
        </w:numPr>
        <w:ind w:firstLine="708"/>
      </w:pPr>
      <w:r>
        <w:t>nyilatkozat, amely szerint a gyermekek védelméről és a gyámügyi igazgatásról szóló 1997. évi XXXI. törvény 10/A. §-ának (1) bekezdésében meghatározott kizáró ok vele szemben nem áll fenn,</w:t>
      </w:r>
    </w:p>
    <w:p w:rsidR="00E51A6D" w:rsidRDefault="00000000">
      <w:pPr>
        <w:numPr>
          <w:ilvl w:val="1"/>
          <w:numId w:val="1"/>
        </w:numPr>
        <w:ind w:firstLine="708"/>
      </w:pPr>
      <w:r>
        <w:t>a személyes gondoskodást nyújtó szociális intézmények szakmai feladatairól és működési feltételeiről szóló 1/2000. (I.7.) SzCsM rendelet 3. számú mellékletében az intézményvezetőre vonatkozó vagy a személyes gondoskodást nyújtó gyermekjóléti, gyermekvédelmi intézmények, valamint személyek szakmai feladatairól és működésük feltételeiről szóló 15/1998. (IV.30.) NM rendelet 2. melléklet I, rés I. pontjában meghatározott szakirányú szakképzettség és szakképesítés,</w:t>
      </w:r>
    </w:p>
    <w:p w:rsidR="00E51A6D" w:rsidRDefault="00000000">
      <w:pPr>
        <w:numPr>
          <w:ilvl w:val="1"/>
          <w:numId w:val="1"/>
        </w:numPr>
        <w:spacing w:after="1124"/>
        <w:ind w:firstLine="708"/>
      </w:pPr>
      <w:r>
        <w:t>legalább öt év felsőfokú végzettséget vagy felsőfokú szakmai képesítést igénylő, a gyermekvédelem, a szociális ellátás, az egészségügyi ellátás, illetve a közoktatás területén betöltött munkakörben szerzett szakmai gyakorlat,</w:t>
      </w:r>
    </w:p>
    <w:p w:rsidR="00E51A6D" w:rsidRDefault="00000000">
      <w:pPr>
        <w:spacing w:after="0" w:line="259" w:lineRule="auto"/>
        <w:ind w:left="279"/>
        <w:jc w:val="left"/>
      </w:pPr>
      <w:r>
        <w:rPr>
          <w:b/>
          <w:i/>
        </w:rPr>
        <w:t>Pályázat elbírálása során előnyt jelent:</w:t>
      </w:r>
    </w:p>
    <w:p w:rsidR="00E51A6D" w:rsidRDefault="00000000">
      <w:pPr>
        <w:spacing w:after="96" w:line="265" w:lineRule="auto"/>
        <w:ind w:left="718"/>
        <w:jc w:val="left"/>
      </w:pPr>
      <w:r>
        <w:rPr>
          <w:b/>
        </w:rPr>
        <w:t>A pályázat elbírálása során előnyt jelent a szakmai tapasztalat?:</w:t>
      </w:r>
      <w:r>
        <w:t xml:space="preserve"> Nem</w:t>
      </w:r>
    </w:p>
    <w:p w:rsidR="00E51A6D" w:rsidRDefault="00000000">
      <w:pPr>
        <w:spacing w:after="96" w:line="265" w:lineRule="auto"/>
        <w:ind w:left="718"/>
        <w:jc w:val="left"/>
      </w:pPr>
      <w:r>
        <w:rPr>
          <w:b/>
        </w:rPr>
        <w:t>A pályázat elbírálása során előnyt jelent a vezetői tapasztalat?:</w:t>
      </w:r>
      <w:r>
        <w:t xml:space="preserve"> Nem</w:t>
      </w:r>
    </w:p>
    <w:p w:rsidR="00E51A6D" w:rsidRDefault="00000000">
      <w:pPr>
        <w:spacing w:after="96" w:line="265" w:lineRule="auto"/>
        <w:ind w:left="-5"/>
        <w:jc w:val="left"/>
      </w:pPr>
      <w:r>
        <w:rPr>
          <w:b/>
        </w:rPr>
        <w:t>A pályázat részeként benyújtandó igazolások, alátámasztó dokumentumok:</w:t>
      </w:r>
    </w:p>
    <w:p w:rsidR="00E51A6D" w:rsidRDefault="00000000">
      <w:pPr>
        <w:numPr>
          <w:ilvl w:val="0"/>
          <w:numId w:val="2"/>
        </w:numPr>
        <w:ind w:hanging="360"/>
      </w:pPr>
      <w:r>
        <w:lastRenderedPageBreak/>
        <w:t>vagyonnyilatkozat-tételi kötelezettség teljesítése</w:t>
      </w:r>
    </w:p>
    <w:p w:rsidR="00E51A6D" w:rsidRDefault="00000000">
      <w:pPr>
        <w:numPr>
          <w:ilvl w:val="0"/>
          <w:numId w:val="2"/>
        </w:numPr>
        <w:ind w:hanging="360"/>
      </w:pPr>
      <w:r>
        <w:t>A Kjt. 20/A.§ (5) bekezdés b) pontja alapján a pályázó a pályázathoz csatolja arról szóló nyilatkozatát, hogy a pályázati anyagában foglalt személyes adatainak a pályázati eljárással összefüggésben szükséges kezeléséhez hozzájárul.</w:t>
      </w:r>
    </w:p>
    <w:p w:rsidR="00E51A6D" w:rsidRDefault="00000000">
      <w:pPr>
        <w:numPr>
          <w:ilvl w:val="0"/>
          <w:numId w:val="2"/>
        </w:numPr>
        <w:ind w:hanging="360"/>
      </w:pPr>
      <w:r>
        <w:t>szakmai program</w:t>
      </w:r>
    </w:p>
    <w:p w:rsidR="00E51A6D" w:rsidRDefault="00000000">
      <w:pPr>
        <w:numPr>
          <w:ilvl w:val="0"/>
          <w:numId w:val="2"/>
        </w:numPr>
        <w:ind w:hanging="360"/>
      </w:pPr>
      <w:r>
        <w:t>részletes szakmai önéletrajz</w:t>
      </w:r>
    </w:p>
    <w:p w:rsidR="00E51A6D" w:rsidRDefault="00000000">
      <w:pPr>
        <w:numPr>
          <w:ilvl w:val="0"/>
          <w:numId w:val="2"/>
        </w:numPr>
        <w:ind w:hanging="360"/>
      </w:pPr>
      <w:r>
        <w:t>Három hónapnál nem régebbi erkölcsi bizonyítvány</w:t>
      </w:r>
    </w:p>
    <w:p w:rsidR="00E51A6D" w:rsidRDefault="00000000">
      <w:pPr>
        <w:numPr>
          <w:ilvl w:val="0"/>
          <w:numId w:val="2"/>
        </w:numPr>
        <w:ind w:hanging="360"/>
      </w:pPr>
      <w:r>
        <w:t>Hozzájáruló nyilatkozat pályázati anyagba betekintésről</w:t>
      </w:r>
    </w:p>
    <w:p w:rsidR="00E51A6D" w:rsidRDefault="00000000">
      <w:pPr>
        <w:numPr>
          <w:ilvl w:val="0"/>
          <w:numId w:val="2"/>
        </w:numPr>
        <w:ind w:hanging="360"/>
      </w:pPr>
      <w:r>
        <w:t>szakmai gyakorlat hitelt érdemlő igazolása</w:t>
      </w:r>
    </w:p>
    <w:p w:rsidR="00E51A6D" w:rsidRDefault="00000000">
      <w:pPr>
        <w:numPr>
          <w:ilvl w:val="0"/>
          <w:numId w:val="2"/>
        </w:numPr>
        <w:spacing w:after="480"/>
        <w:ind w:hanging="360"/>
      </w:pPr>
      <w:r>
        <w:t>végzettséget, szakképesítést igazoló okiratok másolata</w:t>
      </w:r>
    </w:p>
    <w:p w:rsidR="00E51A6D" w:rsidRDefault="00000000">
      <w:pPr>
        <w:spacing w:after="96" w:line="265" w:lineRule="auto"/>
        <w:ind w:left="-5"/>
        <w:jc w:val="left"/>
      </w:pPr>
      <w:r>
        <w:rPr>
          <w:b/>
        </w:rPr>
        <w:t>A pályázat benyújtásának határideje:</w:t>
      </w:r>
      <w:r>
        <w:t xml:space="preserve"> 2024.12.02. 12:00</w:t>
      </w:r>
    </w:p>
    <w:p w:rsidR="00E51A6D" w:rsidRDefault="00000000">
      <w:r>
        <w:rPr>
          <w:b/>
        </w:rPr>
        <w:t>Pályázat benyújtásának módja:</w:t>
      </w:r>
      <w:r>
        <w:t xml:space="preserve"> Postai küldeményként vagy személyesen két példányban "Isaszeg Város Polgármestere címére, 2117. Isaszeg, Rákóczi u. 45." A borítékra rá kell írni: "Isaszegi Humánszolgáltató Központ- Intézményvezetői pályázat"</w:t>
      </w:r>
    </w:p>
    <w:p w:rsidR="00E51A6D" w:rsidRDefault="00000000">
      <w:r>
        <w:rPr>
          <w:b/>
        </w:rPr>
        <w:t>A pályázat elbírálásának módja:</w:t>
      </w:r>
      <w:r>
        <w:t xml:space="preserve"> Szakmai Véleményező Bizottsági meghallgatás és javaslat kialakítást követően hozott Képviselő-testületi döntés. A kiíró fenntartja a jogot a pályázat érvénytelenné nyilvánítására</w:t>
      </w:r>
    </w:p>
    <w:p w:rsidR="00E51A6D" w:rsidRDefault="00000000">
      <w:pPr>
        <w:spacing w:after="96" w:line="265" w:lineRule="auto"/>
        <w:ind w:left="-5"/>
        <w:jc w:val="left"/>
      </w:pPr>
      <w:r>
        <w:rPr>
          <w:b/>
        </w:rPr>
        <w:t>A pályázat elbírálásának határideje:</w:t>
      </w:r>
      <w:r>
        <w:t xml:space="preserve"> 2025.01.16. 00:00</w:t>
      </w:r>
    </w:p>
    <w:p w:rsidR="00E51A6D" w:rsidRDefault="00000000">
      <w:pPr>
        <w:spacing w:after="96" w:line="265" w:lineRule="auto"/>
        <w:ind w:left="-5"/>
        <w:jc w:val="left"/>
      </w:pPr>
      <w:r>
        <w:rPr>
          <w:b/>
        </w:rPr>
        <w:t>A pályázati kiírás további közzétételének helye:</w:t>
      </w:r>
      <w:r>
        <w:t xml:space="preserve"> Isaszeg város honlapja: 2024. október 25.</w:t>
      </w:r>
    </w:p>
    <w:p w:rsidR="00E51A6D" w:rsidRDefault="00000000">
      <w:pPr>
        <w:spacing w:after="96" w:line="265" w:lineRule="auto"/>
        <w:ind w:left="-5"/>
        <w:jc w:val="left"/>
      </w:pPr>
      <w:r>
        <w:rPr>
          <w:b/>
        </w:rPr>
        <w:t>Állás tervezett betöltésének időpontja:</w:t>
      </w:r>
      <w:r>
        <w:t xml:space="preserve"> 2025.02.01.</w:t>
      </w:r>
    </w:p>
    <w:p w:rsidR="00E51A6D" w:rsidRDefault="00000000">
      <w:pPr>
        <w:spacing w:after="96" w:line="265" w:lineRule="auto"/>
        <w:ind w:left="-5"/>
        <w:jc w:val="left"/>
      </w:pPr>
      <w:r>
        <w:rPr>
          <w:b/>
        </w:rPr>
        <w:t>Állás tervezett betöltés végének időpontja:</w:t>
      </w:r>
      <w:r>
        <w:t xml:space="preserve"> 2030.01.31.</w:t>
      </w:r>
    </w:p>
    <w:p w:rsidR="00E51A6D" w:rsidRDefault="00000000">
      <w:pPr>
        <w:spacing w:after="728" w:line="265" w:lineRule="auto"/>
        <w:ind w:left="-5"/>
        <w:jc w:val="left"/>
      </w:pPr>
      <w:r>
        <w:rPr>
          <w:b/>
        </w:rPr>
        <w:t>Publikálás tervezett időpontja:</w:t>
      </w:r>
      <w:r>
        <w:t xml:space="preserve"> 2024.10.31.</w:t>
      </w:r>
    </w:p>
    <w:p w:rsidR="00E51A6D" w:rsidRDefault="00000000">
      <w:pPr>
        <w:spacing w:after="279" w:line="238" w:lineRule="auto"/>
        <w:ind w:left="0" w:firstLine="0"/>
      </w:pPr>
      <w:r>
        <w:rPr>
          <w:i/>
        </w:rPr>
        <w:t>A pályázati kiírás közzétevője a Miniszterelnöki Kormányiroda (MK). A pályázati kiírás a közigazgatási szerv által az MK részére megküldött adatokat tartalmazza, így annak tartalmáért a hatályos jogszabály alapján a pályázatot kiíró szerv felel.</w:t>
      </w:r>
    </w:p>
    <w:p w:rsidR="00E51A6D" w:rsidRDefault="00000000">
      <w:pPr>
        <w:spacing w:after="0" w:line="259" w:lineRule="auto"/>
        <w:ind w:left="3148" w:firstLine="0"/>
        <w:jc w:val="left"/>
      </w:pPr>
      <w:r>
        <w:rPr>
          <w:noProof/>
        </w:rPr>
        <w:drawing>
          <wp:inline distT="0" distB="0" distL="0" distR="0">
            <wp:extent cx="1762125" cy="628650"/>
            <wp:effectExtent l="0" t="0" r="0" b="0"/>
            <wp:docPr id="256" name="Picture 256"/>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7"/>
                    <a:stretch>
                      <a:fillRect/>
                    </a:stretch>
                  </pic:blipFill>
                  <pic:spPr>
                    <a:xfrm>
                      <a:off x="0" y="0"/>
                      <a:ext cx="1762125" cy="628650"/>
                    </a:xfrm>
                    <a:prstGeom prst="rect">
                      <a:avLst/>
                    </a:prstGeom>
                  </pic:spPr>
                </pic:pic>
              </a:graphicData>
            </a:graphic>
          </wp:inline>
        </w:drawing>
      </w:r>
    </w:p>
    <w:sectPr w:rsidR="00E51A6D">
      <w:headerReference w:type="even" r:id="rId8"/>
      <w:headerReference w:type="default" r:id="rId9"/>
      <w:headerReference w:type="first" r:id="rId10"/>
      <w:pgSz w:w="11906" w:h="16838"/>
      <w:pgMar w:top="1568" w:right="1417" w:bottom="1562" w:left="1417" w:header="73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548E" w:rsidRDefault="0076548E">
      <w:pPr>
        <w:spacing w:after="0" w:line="240" w:lineRule="auto"/>
      </w:pPr>
      <w:r>
        <w:separator/>
      </w:r>
    </w:p>
  </w:endnote>
  <w:endnote w:type="continuationSeparator" w:id="0">
    <w:p w:rsidR="0076548E" w:rsidRDefault="0076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548E" w:rsidRDefault="0076548E">
      <w:pPr>
        <w:spacing w:after="0" w:line="240" w:lineRule="auto"/>
      </w:pPr>
      <w:r>
        <w:separator/>
      </w:r>
    </w:p>
  </w:footnote>
  <w:footnote w:type="continuationSeparator" w:id="0">
    <w:p w:rsidR="0076548E" w:rsidRDefault="0076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1A6D" w:rsidRDefault="00000000">
    <w:pPr>
      <w:spacing w:after="181" w:line="259" w:lineRule="auto"/>
      <w:ind w:left="0" w:firstLine="0"/>
      <w:jc w:val="right"/>
    </w:pPr>
    <w:r>
      <w:rPr>
        <w:sz w:val="18"/>
      </w:rPr>
      <w:t>KÖZSZOLGÁLLÁS sorszám: 88552</w:t>
    </w:r>
  </w:p>
  <w:p w:rsidR="00E51A6D" w:rsidRDefault="00000000">
    <w:pPr>
      <w:spacing w:after="0" w:line="259" w:lineRule="auto"/>
      <w:ind w:left="0" w:firstLine="0"/>
      <w:jc w:val="right"/>
    </w:pPr>
    <w:r>
      <w:rPr>
        <w:sz w:val="18"/>
      </w:rPr>
      <w:t>Intézményi iktatószám: SZ/98-2/2024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1A6D" w:rsidRDefault="00000000">
    <w:pPr>
      <w:spacing w:after="181" w:line="259" w:lineRule="auto"/>
      <w:ind w:left="0" w:firstLine="0"/>
      <w:jc w:val="right"/>
    </w:pPr>
    <w:r>
      <w:rPr>
        <w:sz w:val="18"/>
      </w:rPr>
      <w:t>KÖZSZOLGÁLLÁS sorszám: 88552</w:t>
    </w:r>
  </w:p>
  <w:p w:rsidR="00E51A6D" w:rsidRDefault="00000000">
    <w:pPr>
      <w:spacing w:after="0" w:line="259" w:lineRule="auto"/>
      <w:ind w:left="0" w:firstLine="0"/>
      <w:jc w:val="right"/>
    </w:pPr>
    <w:r>
      <w:rPr>
        <w:sz w:val="18"/>
      </w:rPr>
      <w:t>Intézményi iktatószám: SZ/98-2/2024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51A6D" w:rsidRDefault="00000000">
    <w:pPr>
      <w:spacing w:after="181" w:line="259" w:lineRule="auto"/>
      <w:ind w:left="0" w:firstLine="0"/>
      <w:jc w:val="right"/>
    </w:pPr>
    <w:r>
      <w:rPr>
        <w:sz w:val="18"/>
      </w:rPr>
      <w:t>KÖZSZOLGÁLLÁS sorszám: 88552</w:t>
    </w:r>
  </w:p>
  <w:p w:rsidR="00E51A6D" w:rsidRDefault="00000000">
    <w:pPr>
      <w:spacing w:after="0" w:line="259" w:lineRule="auto"/>
      <w:ind w:left="0" w:firstLine="0"/>
      <w:jc w:val="right"/>
    </w:pPr>
    <w:r>
      <w:rPr>
        <w:sz w:val="18"/>
      </w:rPr>
      <w:t>Intézményi iktatószám: SZ/98-2/2024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E766B"/>
    <w:multiLevelType w:val="hybridMultilevel"/>
    <w:tmpl w:val="7ECCC71E"/>
    <w:lvl w:ilvl="0" w:tplc="55D2B83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E276A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D6736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D0FA4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9A793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D26F7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58546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8F00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64AFA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D6C5FF3"/>
    <w:multiLevelType w:val="hybridMultilevel"/>
    <w:tmpl w:val="538234B2"/>
    <w:lvl w:ilvl="0" w:tplc="224ADF7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C8DD2A">
      <w:start w:val="1"/>
      <w:numFmt w:val="bullet"/>
      <w:lvlRestart w:val="0"/>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E67116">
      <w:start w:val="1"/>
      <w:numFmt w:val="bullet"/>
      <w:lvlText w:val="▪"/>
      <w:lvlJc w:val="left"/>
      <w:pPr>
        <w:ind w:left="2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40AB80">
      <w:start w:val="1"/>
      <w:numFmt w:val="bullet"/>
      <w:lvlText w:val="•"/>
      <w:lvlJc w:val="left"/>
      <w:pPr>
        <w:ind w:left="3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F67A0C">
      <w:start w:val="1"/>
      <w:numFmt w:val="bullet"/>
      <w:lvlText w:val="o"/>
      <w:lvlJc w:val="left"/>
      <w:pPr>
        <w:ind w:left="3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D45E2E">
      <w:start w:val="1"/>
      <w:numFmt w:val="bullet"/>
      <w:lvlText w:val="▪"/>
      <w:lvlJc w:val="left"/>
      <w:pPr>
        <w:ind w:left="4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4E1E76">
      <w:start w:val="1"/>
      <w:numFmt w:val="bullet"/>
      <w:lvlText w:val="•"/>
      <w:lvlJc w:val="left"/>
      <w:pPr>
        <w:ind w:left="5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667A7C">
      <w:start w:val="1"/>
      <w:numFmt w:val="bullet"/>
      <w:lvlText w:val="o"/>
      <w:lvlJc w:val="left"/>
      <w:pPr>
        <w:ind w:left="5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865360">
      <w:start w:val="1"/>
      <w:numFmt w:val="bullet"/>
      <w:lvlText w:val="▪"/>
      <w:lvlJc w:val="left"/>
      <w:pPr>
        <w:ind w:left="6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4979479">
    <w:abstractNumId w:val="1"/>
  </w:num>
  <w:num w:numId="2" w16cid:durableId="209466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6D"/>
    <w:rsid w:val="0076548E"/>
    <w:rsid w:val="00822B0D"/>
    <w:rsid w:val="00E51A6D"/>
    <w:rsid w:val="00E905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ACC90-0C82-453A-ADBA-938E08D1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14" w:line="249" w:lineRule="auto"/>
      <w:ind w:left="10" w:hanging="10"/>
      <w:jc w:val="both"/>
    </w:pPr>
    <w:rPr>
      <w:rFonts w:ascii="Cambria" w:eastAsia="Cambria" w:hAnsi="Cambria" w:cs="Cambria"/>
      <w:color w:val="000000"/>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5075</Characters>
  <Application>Microsoft Office Word</Application>
  <DocSecurity>0</DocSecurity>
  <Lines>42</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borbely.kata</dc:creator>
  <cp:keywords/>
  <cp:lastModifiedBy>borbely.kata</cp:lastModifiedBy>
  <cp:revision>2</cp:revision>
  <dcterms:created xsi:type="dcterms:W3CDTF">2024-10-28T14:40:00Z</dcterms:created>
  <dcterms:modified xsi:type="dcterms:W3CDTF">2024-10-28T14:40:00Z</dcterms:modified>
</cp:coreProperties>
</file>